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42" w:rsidRPr="008A6F42" w:rsidRDefault="008A6F42" w:rsidP="008A6F42">
      <w:pPr>
        <w:pStyle w:val="1"/>
        <w:jc w:val="center"/>
        <w:rPr>
          <w:sz w:val="28"/>
          <w:szCs w:val="28"/>
        </w:rPr>
      </w:pPr>
      <w:r w:rsidRPr="008A6F42">
        <w:rPr>
          <w:sz w:val="28"/>
          <w:szCs w:val="28"/>
        </w:rPr>
        <w:t>ГПК РФ Статья 135. Возвращение искового заявления</w:t>
      </w:r>
    </w:p>
    <w:p w:rsidR="008A6F42" w:rsidRPr="008A6F42" w:rsidRDefault="008A6F42" w:rsidP="008A6F42">
      <w:pPr>
        <w:shd w:val="clear" w:color="auto" w:fill="FFFFFF"/>
        <w:spacing w:after="144" w:line="171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b/>
          <w:bCs/>
          <w:color w:val="333333"/>
          <w:kern w:val="36"/>
          <w:sz w:val="18"/>
          <w:lang w:eastAsia="ru-RU"/>
        </w:rPr>
        <w:t> </w:t>
      </w:r>
    </w:p>
    <w:p w:rsidR="008A6F42" w:rsidRPr="008A6F42" w:rsidRDefault="008A6F42" w:rsidP="008A6F42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bookmarkStart w:id="0" w:name="dst100662"/>
      <w:bookmarkEnd w:id="0"/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Судья возвращает исковое заявление в случае, если:</w:t>
      </w:r>
    </w:p>
    <w:p w:rsidR="008A6F42" w:rsidRPr="008A6F42" w:rsidRDefault="008A6F42" w:rsidP="008A6F42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333333"/>
          <w:sz w:val="18"/>
          <w:lang w:eastAsia="ru-RU"/>
        </w:rPr>
      </w:pPr>
      <w:bookmarkStart w:id="1" w:name="dst100663"/>
      <w:bookmarkEnd w:id="1"/>
    </w:p>
    <w:p w:rsidR="008A6F42" w:rsidRPr="008A6F42" w:rsidRDefault="008A6F42" w:rsidP="008A6F42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истцом не соблюден установленный федеральным </w:t>
      </w:r>
      <w:r w:rsidRPr="008A6F42">
        <w:rPr>
          <w:rFonts w:ascii="Arial" w:eastAsia="Times New Roman" w:hAnsi="Arial" w:cs="Arial"/>
          <w:color w:val="666699"/>
          <w:sz w:val="18"/>
          <w:lang w:eastAsia="ru-RU"/>
        </w:rPr>
        <w:t>законом</w:t>
      </w: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 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договором;</w:t>
      </w:r>
      <w:bookmarkStart w:id="2" w:name="dst814"/>
      <w:bookmarkEnd w:id="2"/>
    </w:p>
    <w:p w:rsidR="008A6F42" w:rsidRPr="008A6F42" w:rsidRDefault="008A6F42" w:rsidP="008A6F42">
      <w:pPr>
        <w:pStyle w:val="a4"/>
        <w:numPr>
          <w:ilvl w:val="1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заявленные требования подлежат рассмотрению в порядке приказного производства;</w:t>
      </w:r>
    </w:p>
    <w:p w:rsidR="008A6F42" w:rsidRPr="008A6F42" w:rsidRDefault="008A6F42" w:rsidP="008A6F42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bookmarkStart w:id="3" w:name="dst100664"/>
      <w:bookmarkEnd w:id="3"/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дело неподсудно данному суду;</w:t>
      </w:r>
      <w:bookmarkStart w:id="4" w:name="dst100665"/>
      <w:bookmarkEnd w:id="4"/>
    </w:p>
    <w:p w:rsidR="008A6F42" w:rsidRPr="008A6F42" w:rsidRDefault="008A6F42" w:rsidP="008A6F42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исковое заявление подано недееспособным лицом;</w:t>
      </w:r>
      <w:bookmarkStart w:id="5" w:name="dst100666"/>
      <w:bookmarkEnd w:id="5"/>
    </w:p>
    <w:p w:rsidR="008A6F42" w:rsidRPr="008A6F42" w:rsidRDefault="008A6F42" w:rsidP="008A6F42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исковое заявление не подписано или исковое заявление подписано и подано лицом, не имеющим полномочий на его подписание и предъявление в суд;</w:t>
      </w:r>
      <w:bookmarkStart w:id="6" w:name="dst100667"/>
      <w:bookmarkEnd w:id="6"/>
    </w:p>
    <w:p w:rsidR="008A6F42" w:rsidRPr="008A6F42" w:rsidRDefault="008A6F42" w:rsidP="008A6F42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в производстве этого или другого суда либо третейского суда имеется дело по спору между теми же сторонами, о том же предмете и по тем же основаниям;</w:t>
      </w:r>
      <w:bookmarkStart w:id="7" w:name="dst100668"/>
      <w:bookmarkEnd w:id="7"/>
    </w:p>
    <w:p w:rsidR="008A6F42" w:rsidRPr="008A6F42" w:rsidRDefault="008A6F42" w:rsidP="008A6F42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до вынесения определения суда о принятии искового заявления к производству суда от истца поступило заявление о возвращении искового заявления.</w:t>
      </w:r>
    </w:p>
    <w:p w:rsidR="008A6F42" w:rsidRPr="008A6F42" w:rsidRDefault="008A6F42" w:rsidP="008A6F42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333333"/>
          <w:sz w:val="18"/>
          <w:lang w:eastAsia="ru-RU"/>
        </w:rPr>
      </w:pPr>
      <w:bookmarkStart w:id="8" w:name="dst100669"/>
      <w:bookmarkEnd w:id="8"/>
    </w:p>
    <w:p w:rsidR="008A6F42" w:rsidRPr="008A6F42" w:rsidRDefault="008A6F42" w:rsidP="008A6F42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О возвращении искового заявления судья выносит мотивированное определение, в котором указывает, в какой суд следует обратиться заявителю, если дело неподсудно данному суду, или как устранить обстоятельства, препятствующие возбуждению дела.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документами.</w:t>
      </w:r>
      <w:bookmarkStart w:id="9" w:name="dst100670"/>
      <w:bookmarkEnd w:id="9"/>
    </w:p>
    <w:p w:rsidR="008A6F42" w:rsidRPr="008A6F42" w:rsidRDefault="008A6F42" w:rsidP="008A6F42">
      <w:pPr>
        <w:pStyle w:val="a4"/>
        <w:shd w:val="clear" w:color="auto" w:fill="FFFFFF"/>
        <w:spacing w:after="0" w:line="171" w:lineRule="atLeast"/>
        <w:ind w:left="1260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</w:p>
    <w:p w:rsidR="008A6F42" w:rsidRPr="008A6F42" w:rsidRDefault="008A6F42" w:rsidP="008A6F42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8"/>
          <w:szCs w:val="14"/>
          <w:lang w:eastAsia="ru-RU"/>
        </w:rPr>
      </w:pPr>
      <w:r w:rsidRPr="008A6F42">
        <w:rPr>
          <w:rFonts w:ascii="Arial" w:eastAsia="Times New Roman" w:hAnsi="Arial" w:cs="Arial"/>
          <w:color w:val="333333"/>
          <w:sz w:val="18"/>
          <w:lang w:eastAsia="ru-RU"/>
        </w:rPr>
        <w:t>Возвращение искового заявления не препятствует повторному обращению истца в суд с иском к тому же ответчику, о том же предмете и по тем же основаниям, если истцом будет устранено допущенное нарушение. На определение судьи о возвращении заявления может быть подана частная жалоба.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B1E"/>
    <w:multiLevelType w:val="hybridMultilevel"/>
    <w:tmpl w:val="AB2C20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3831F3"/>
    <w:multiLevelType w:val="hybridMultilevel"/>
    <w:tmpl w:val="691E1B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6F42"/>
    <w:rsid w:val="000B4471"/>
    <w:rsid w:val="000C742C"/>
    <w:rsid w:val="00356E44"/>
    <w:rsid w:val="0045556D"/>
    <w:rsid w:val="008A6F42"/>
    <w:rsid w:val="00E7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8A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A6F42"/>
  </w:style>
  <w:style w:type="character" w:customStyle="1" w:styleId="hl">
    <w:name w:val="hl"/>
    <w:basedOn w:val="a0"/>
    <w:rsid w:val="008A6F42"/>
  </w:style>
  <w:style w:type="character" w:customStyle="1" w:styleId="nobr">
    <w:name w:val="nobr"/>
    <w:basedOn w:val="a0"/>
    <w:rsid w:val="008A6F42"/>
  </w:style>
  <w:style w:type="character" w:styleId="a3">
    <w:name w:val="Hyperlink"/>
    <w:basedOn w:val="a0"/>
    <w:uiPriority w:val="99"/>
    <w:semiHidden/>
    <w:unhideWhenUsed/>
    <w:rsid w:val="008A6F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867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27795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0149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198542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00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460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ГПК РФ Статья 135. Возвращение искового заявления</dc:title>
  <dc:subject/>
  <cp:keywords/>
  <dc:description/>
  <dcterms:created xsi:type="dcterms:W3CDTF">2019-02-12T19:22:00Z</dcterms:created>
  <dcterms:modified xsi:type="dcterms:W3CDTF">2019-02-12T19:31:00Z</dcterms:modified>
</cp:coreProperties>
</file>